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CCCD" w14:textId="7BA1FBF9" w:rsidR="0025234B" w:rsidRPr="00EE006E" w:rsidRDefault="003E5091" w:rsidP="0025234B">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B03D63">
        <w:rPr>
          <w:b/>
          <w:sz w:val="24"/>
          <w:szCs w:val="24"/>
        </w:rPr>
        <w:t>#109</w:t>
      </w:r>
      <w:r w:rsidR="00FE788B" w:rsidRPr="00FE788B">
        <w:rPr>
          <w:b/>
          <w:sz w:val="24"/>
          <w:szCs w:val="24"/>
        </w:rPr>
        <w:t>-e</w:t>
      </w:r>
      <w:r w:rsidR="0025234B" w:rsidRPr="00121C7F">
        <w:rPr>
          <w:rFonts w:hint="eastAsia"/>
          <w:b/>
          <w:sz w:val="24"/>
          <w:szCs w:val="24"/>
          <w:lang w:eastAsia="ko-KR"/>
        </w:rPr>
        <w:tab/>
      </w:r>
      <w:r w:rsidR="00057FE1" w:rsidRPr="00057FE1">
        <w:rPr>
          <w:b/>
          <w:sz w:val="24"/>
          <w:szCs w:val="24"/>
          <w:lang w:eastAsia="ko-KR"/>
        </w:rPr>
        <w:t>R1-2203861</w:t>
      </w:r>
    </w:p>
    <w:bookmarkEnd w:id="0"/>
    <w:bookmarkEnd w:id="1"/>
    <w:p w14:paraId="04128E8C" w14:textId="34426D55" w:rsidR="0025234B" w:rsidRDefault="0025234B" w:rsidP="0025234B">
      <w:pPr>
        <w:tabs>
          <w:tab w:val="left" w:pos="1985"/>
        </w:tabs>
        <w:rPr>
          <w:rFonts w:ascii="Arial" w:hAnsi="Arial"/>
          <w:b/>
          <w:bCs/>
          <w:noProof/>
          <w:sz w:val="24"/>
          <w:szCs w:val="24"/>
        </w:rPr>
      </w:pPr>
      <w:r w:rsidRPr="008400A0">
        <w:rPr>
          <w:rFonts w:ascii="Arial" w:hAnsi="Arial"/>
          <w:b/>
          <w:bCs/>
          <w:noProof/>
          <w:sz w:val="24"/>
          <w:szCs w:val="24"/>
        </w:rPr>
        <w:t>e-Meeting,</w:t>
      </w:r>
      <w:r w:rsidR="003E5091">
        <w:rPr>
          <w:rFonts w:ascii="Arial" w:hAnsi="Arial"/>
          <w:b/>
          <w:bCs/>
          <w:noProof/>
          <w:sz w:val="24"/>
          <w:szCs w:val="24"/>
        </w:rPr>
        <w:t xml:space="preserve"> </w:t>
      </w:r>
      <w:r w:rsidR="00B03D63">
        <w:rPr>
          <w:rFonts w:ascii="Arial" w:hAnsi="Arial"/>
          <w:b/>
          <w:bCs/>
          <w:noProof/>
          <w:sz w:val="24"/>
          <w:szCs w:val="24"/>
        </w:rPr>
        <w:t>May</w:t>
      </w:r>
      <w:r w:rsidR="00FE788B" w:rsidRPr="00FE788B">
        <w:rPr>
          <w:rFonts w:ascii="Arial" w:hAnsi="Arial"/>
          <w:b/>
          <w:bCs/>
          <w:noProof/>
          <w:sz w:val="24"/>
          <w:szCs w:val="24"/>
        </w:rPr>
        <w:t xml:space="preserve"> </w:t>
      </w:r>
      <w:r w:rsidR="00B03D63">
        <w:rPr>
          <w:rFonts w:ascii="Arial" w:hAnsi="Arial"/>
          <w:b/>
          <w:bCs/>
          <w:noProof/>
          <w:sz w:val="24"/>
          <w:szCs w:val="24"/>
        </w:rPr>
        <w:t>7th</w:t>
      </w:r>
      <w:r w:rsidR="00FE788B" w:rsidRPr="00FE788B">
        <w:rPr>
          <w:rFonts w:ascii="Arial" w:hAnsi="Arial"/>
          <w:b/>
          <w:bCs/>
          <w:noProof/>
          <w:sz w:val="24"/>
          <w:szCs w:val="24"/>
        </w:rPr>
        <w:t xml:space="preserve"> – </w:t>
      </w:r>
      <w:r w:rsidR="00B03D63">
        <w:rPr>
          <w:rFonts w:ascii="Arial" w:hAnsi="Arial"/>
          <w:b/>
          <w:bCs/>
          <w:noProof/>
          <w:sz w:val="24"/>
          <w:szCs w:val="24"/>
        </w:rPr>
        <w:t>20th</w:t>
      </w:r>
      <w:r w:rsidR="00FE788B" w:rsidRPr="00FE788B">
        <w:rPr>
          <w:rFonts w:ascii="Arial" w:hAnsi="Arial"/>
          <w:b/>
          <w:bCs/>
          <w:noProof/>
          <w:sz w:val="24"/>
          <w:szCs w:val="24"/>
        </w:rPr>
        <w:t>, 2022</w:t>
      </w:r>
    </w:p>
    <w:p w14:paraId="08664EDD" w14:textId="2FAF15C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3D63">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6E6FE4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E2EDF" w:rsidRPr="0037516D">
        <w:rPr>
          <w:rFonts w:ascii="Arial" w:hAnsi="Arial"/>
          <w:sz w:val="24"/>
        </w:rPr>
        <w:t xml:space="preserve">Maintenance on </w:t>
      </w:r>
      <w:r w:rsidR="008E2EDF">
        <w:rPr>
          <w:rFonts w:ascii="Arial" w:hAnsi="Arial"/>
          <w:sz w:val="24"/>
        </w:rPr>
        <w:t>c</w:t>
      </w:r>
      <w:r w:rsidR="00DD05D5">
        <w:rPr>
          <w:rFonts w:ascii="Arial" w:hAnsi="Arial"/>
          <w:sz w:val="24"/>
        </w:rPr>
        <w:t xml:space="preserve">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bookmarkStart w:id="3" w:name="_GoBack"/>
      <w:bookmarkEnd w:id="3"/>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D5EBF44" w14:textId="28C3CE68" w:rsidR="00B049BE" w:rsidRDefault="00C242B3" w:rsidP="00247677">
      <w:pPr>
        <w:spacing w:after="0"/>
        <w:jc w:val="both"/>
        <w:rPr>
          <w:lang w:val="en-US"/>
        </w:rPr>
      </w:pPr>
      <w:r>
        <w:rPr>
          <w:lang w:val="en-US"/>
        </w:rPr>
        <w:t xml:space="preserve">This contribution discusses </w:t>
      </w:r>
      <w:r w:rsidR="008E2EDF">
        <w:rPr>
          <w:lang w:val="en-US"/>
        </w:rPr>
        <w:t>the remaining issues for</w:t>
      </w:r>
      <w:r w:rsidR="00B049BE">
        <w:rPr>
          <w:lang w:val="en-US"/>
        </w:rPr>
        <w:t xml:space="preserve"> </w:t>
      </w:r>
      <w:r w:rsidR="008E2EDF">
        <w:rPr>
          <w:lang w:val="en-US"/>
        </w:rPr>
        <w:t xml:space="preserve">the channel access </w:t>
      </w:r>
      <w:r w:rsidR="00FE788B">
        <w:rPr>
          <w:lang w:val="en-US"/>
        </w:rPr>
        <w:t>mechanism</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w:t>
      </w:r>
      <w:r w:rsidR="008E2EDF">
        <w:rPr>
          <w:lang w:eastAsia="x-none"/>
        </w:rPr>
        <w:t>including the following aspects, and the TPs, if needed, associated with the proposals are listed in the appendix:</w:t>
      </w:r>
    </w:p>
    <w:p w14:paraId="09B5F1A9" w14:textId="05295588" w:rsidR="00F66E5C" w:rsidRDefault="00F66E5C" w:rsidP="00B0672A">
      <w:pPr>
        <w:pStyle w:val="ListParagraph"/>
        <w:numPr>
          <w:ilvl w:val="0"/>
          <w:numId w:val="8"/>
        </w:numPr>
        <w:spacing w:after="0"/>
        <w:ind w:leftChars="0"/>
        <w:jc w:val="both"/>
        <w:rPr>
          <w:lang w:val="en-US"/>
        </w:rPr>
      </w:pPr>
      <w:r>
        <w:rPr>
          <w:lang w:val="en-US"/>
        </w:rPr>
        <w:t xml:space="preserve">Remaining </w:t>
      </w:r>
      <w:r w:rsidR="008E2EDF">
        <w:rPr>
          <w:lang w:val="en-US"/>
        </w:rPr>
        <w:t>issues for</w:t>
      </w:r>
      <w:r>
        <w:rPr>
          <w:lang w:val="en-US"/>
        </w:rPr>
        <w:t xml:space="preserve"> LBT mode indication</w:t>
      </w:r>
    </w:p>
    <w:p w14:paraId="0EC28033" w14:textId="77777777" w:rsidR="000C123A" w:rsidRDefault="000C123A" w:rsidP="000C123A">
      <w:pPr>
        <w:pStyle w:val="ListParagraph"/>
        <w:numPr>
          <w:ilvl w:val="0"/>
          <w:numId w:val="8"/>
        </w:numPr>
        <w:spacing w:after="0"/>
        <w:ind w:leftChars="0"/>
        <w:jc w:val="both"/>
        <w:rPr>
          <w:lang w:val="en-US"/>
        </w:rPr>
      </w:pPr>
      <w:r>
        <w:rPr>
          <w:lang w:val="en-US"/>
        </w:rPr>
        <w:t xml:space="preserve">Remaining issues for short control </w:t>
      </w:r>
      <w:proofErr w:type="spellStart"/>
      <w:r>
        <w:rPr>
          <w:lang w:val="en-US"/>
        </w:rPr>
        <w:t>signalling</w:t>
      </w:r>
      <w:proofErr w:type="spellEnd"/>
    </w:p>
    <w:p w14:paraId="7AEF29FC" w14:textId="0C1D3B07" w:rsidR="00047CEC" w:rsidRDefault="00047CEC" w:rsidP="00B0672A">
      <w:pPr>
        <w:pStyle w:val="ListParagraph"/>
        <w:numPr>
          <w:ilvl w:val="0"/>
          <w:numId w:val="8"/>
        </w:numPr>
        <w:spacing w:after="0"/>
        <w:ind w:leftChars="0"/>
        <w:jc w:val="both"/>
        <w:rPr>
          <w:lang w:val="en-US"/>
        </w:rPr>
      </w:pPr>
      <w:r>
        <w:rPr>
          <w:lang w:val="en-US"/>
        </w:rPr>
        <w:t>Remaining issues for GC-PDCCH</w:t>
      </w:r>
    </w:p>
    <w:p w14:paraId="7FE7B17B" w14:textId="198248EC" w:rsidR="00A41DE7" w:rsidRDefault="00A41DE7" w:rsidP="00A41DE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Remaining issues for LBT mode indication</w:t>
      </w:r>
    </w:p>
    <w:p w14:paraId="7690B2AB" w14:textId="77777777" w:rsidR="00A41DE7" w:rsidRDefault="00A41DE7" w:rsidP="00A41DE7">
      <w:pPr>
        <w:tabs>
          <w:tab w:val="left" w:pos="1300"/>
        </w:tabs>
        <w:jc w:val="both"/>
      </w:pPr>
      <w:r>
        <w:rPr>
          <w:lang w:val="en-US"/>
        </w:rPr>
        <w:t xml:space="preserve">So far, RAN1 has agreed to support both cell-specific and UE-specific indication of LBT/no-LBT mode for a “gNB-UE link”, however, the indication details on how a UE determines the LBT mode are still not clear. In our understanding, the intention for cell-specific indication is to allow indicating a common mode for all nodes within the cell, including both the gNB and serving UEs, and the intention for UE-specific indication is to allow the gNB to further indicate a UE-specific mode to some of the serving UEs when necessary, wherein such UE-specific mode can be different from the cell-specific one. Based on this understanding, we have the following proposal. </w:t>
      </w:r>
    </w:p>
    <w:p w14:paraId="2823350C" w14:textId="10942F7A" w:rsidR="00A41DE7" w:rsidRDefault="00A41DE7" w:rsidP="008208BC">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69B6C8A0"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gNB determines its mode by implementation;</w:t>
      </w:r>
    </w:p>
    <w:p w14:paraId="243B95F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1CF4F787" w14:textId="77777777" w:rsidR="00A41DE7" w:rsidRDefault="00A41DE7" w:rsidP="008208BC">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7CC8C4DD" w14:textId="77777777" w:rsidR="00A41DE7" w:rsidRPr="004C4D71" w:rsidRDefault="00A41DE7" w:rsidP="00A41DE7">
      <w:pPr>
        <w:pStyle w:val="ListParagraph"/>
        <w:numPr>
          <w:ilvl w:val="0"/>
          <w:numId w:val="47"/>
        </w:numPr>
        <w:tabs>
          <w:tab w:val="left" w:pos="1300"/>
        </w:tabs>
        <w:ind w:leftChars="0"/>
        <w:jc w:val="both"/>
        <w:rPr>
          <w:b/>
          <w:u w:val="single"/>
        </w:rPr>
      </w:pPr>
      <w:r>
        <w:rPr>
          <w:b/>
          <w:u w:val="single"/>
        </w:rPr>
        <w:t>the UE-specific indication overrides the cell-specific indication when both of them are provided.</w:t>
      </w:r>
    </w:p>
    <w:p w14:paraId="74565B36" w14:textId="30B8CEDA" w:rsidR="0028289A" w:rsidRDefault="000C123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short control </w:t>
      </w:r>
      <w:proofErr w:type="spellStart"/>
      <w:r>
        <w:rPr>
          <w:szCs w:val="20"/>
          <w:lang w:val="en-US"/>
        </w:rPr>
        <w:t>s</w:t>
      </w:r>
      <w:r w:rsidR="000D6DAD">
        <w:rPr>
          <w:szCs w:val="20"/>
          <w:lang w:val="en-US"/>
        </w:rPr>
        <w:t>ignal</w:t>
      </w:r>
      <w:r w:rsidR="008B47A3">
        <w:rPr>
          <w:szCs w:val="20"/>
          <w:lang w:val="en-US"/>
        </w:rPr>
        <w:t>ling</w:t>
      </w:r>
      <w:proofErr w:type="spellEnd"/>
    </w:p>
    <w:p w14:paraId="52EDB794" w14:textId="2C60C78B" w:rsidR="00A863FA" w:rsidRDefault="000C123A" w:rsidP="00EC5B50">
      <w:pPr>
        <w:tabs>
          <w:tab w:val="left" w:pos="1300"/>
        </w:tabs>
        <w:jc w:val="both"/>
        <w:rPr>
          <w:lang w:val="en-US"/>
        </w:rPr>
      </w:pPr>
      <w:r>
        <w:rPr>
          <w:lang w:val="en-US"/>
        </w:rPr>
        <w:t>For short control signaling, subject to regulation,</w:t>
      </w:r>
      <w:r w:rsidR="00A863FA">
        <w:rPr>
          <w:lang w:val="en-US"/>
        </w:rPr>
        <w:t xml:space="preserve"> the transmission duration and duty cycle should be restricted such that fair coexistence with other technology can be guaranteed. </w:t>
      </w:r>
      <w:r w:rsidR="00ED4034">
        <w:rPr>
          <w:lang w:val="en-US"/>
        </w:rPr>
        <w:t>From the requirement of regulation, duty cycle is calculated per node, which translates to pe</w:t>
      </w:r>
      <w:r>
        <w:rPr>
          <w:lang w:val="en-US"/>
        </w:rPr>
        <w:t xml:space="preserve">r cell for DL and per UE for UL. In this sense, no update from the specification is needed. </w:t>
      </w:r>
      <w:r w:rsidR="00ED4034">
        <w:rPr>
          <w:lang w:val="en-US"/>
        </w:rPr>
        <w:t xml:space="preserve"> </w:t>
      </w:r>
    </w:p>
    <w:p w14:paraId="6D0144B8" w14:textId="1DD516CE" w:rsidR="00A863FA" w:rsidRDefault="004C4D71" w:rsidP="000C123A">
      <w:pPr>
        <w:tabs>
          <w:tab w:val="left" w:pos="1300"/>
        </w:tabs>
        <w:spacing w:after="0"/>
        <w:jc w:val="both"/>
        <w:rPr>
          <w:b/>
          <w:u w:val="single"/>
        </w:rPr>
      </w:pPr>
      <w:r>
        <w:rPr>
          <w:b/>
          <w:u w:val="single"/>
        </w:rPr>
        <w:t xml:space="preserve">Proposal </w:t>
      </w:r>
      <w:r w:rsidR="00EF26C6">
        <w:rPr>
          <w:b/>
          <w:u w:val="single"/>
        </w:rPr>
        <w:t>2</w:t>
      </w:r>
      <w:r w:rsidR="000C123A">
        <w:rPr>
          <w:b/>
          <w:u w:val="single"/>
        </w:rPr>
        <w:t xml:space="preserve">: For </w:t>
      </w:r>
      <w:r w:rsidR="00A863FA" w:rsidRPr="00A863FA">
        <w:rPr>
          <w:b/>
          <w:u w:val="single"/>
        </w:rPr>
        <w:t>short control signal</w:t>
      </w:r>
      <w:r w:rsidR="00377B6E">
        <w:rPr>
          <w:b/>
          <w:u w:val="single"/>
        </w:rPr>
        <w:t>ling</w:t>
      </w:r>
      <w:r w:rsidR="000C123A">
        <w:rPr>
          <w:b/>
          <w:u w:val="single"/>
        </w:rPr>
        <w:t>, the duty cycle calculation for UL is per UE.</w:t>
      </w:r>
    </w:p>
    <w:p w14:paraId="64F4EED7" w14:textId="541FF3DD" w:rsidR="000C123A" w:rsidRPr="000C123A" w:rsidRDefault="000C123A" w:rsidP="000C123A">
      <w:pPr>
        <w:pStyle w:val="ListParagraph"/>
        <w:numPr>
          <w:ilvl w:val="0"/>
          <w:numId w:val="49"/>
        </w:numPr>
        <w:tabs>
          <w:tab w:val="left" w:pos="1300"/>
        </w:tabs>
        <w:ind w:leftChars="0"/>
        <w:jc w:val="both"/>
        <w:rPr>
          <w:b/>
          <w:u w:val="single"/>
          <w:lang w:val="en-US"/>
        </w:rPr>
      </w:pPr>
      <w:r>
        <w:rPr>
          <w:b/>
          <w:u w:val="single"/>
          <w:lang w:val="en-US"/>
        </w:rPr>
        <w:t>No spec impact.</w:t>
      </w:r>
    </w:p>
    <w:p w14:paraId="43722867" w14:textId="47CEBD7E" w:rsidR="00047CEC" w:rsidRPr="00364C6F" w:rsidRDefault="00047CEC" w:rsidP="00047CE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w:t>
      </w:r>
      <w:r w:rsidRPr="00364C6F">
        <w:rPr>
          <w:szCs w:val="20"/>
          <w:lang w:val="en-US"/>
        </w:rPr>
        <w:t xml:space="preserve"> GC-PDCCH</w:t>
      </w:r>
    </w:p>
    <w:p w14:paraId="0D84BD54" w14:textId="77777777" w:rsidR="00047CEC" w:rsidRDefault="00047CEC" w:rsidP="00047CEC">
      <w:pPr>
        <w:tabs>
          <w:tab w:val="left" w:pos="1300"/>
        </w:tabs>
        <w:jc w:val="both"/>
        <w:rPr>
          <w:lang w:val="en-US"/>
        </w:rPr>
      </w:pPr>
      <w:r>
        <w:rPr>
          <w:lang w:val="en-US"/>
        </w:rPr>
        <w:t>F</w:t>
      </w:r>
      <w:r w:rsidRPr="00D65339">
        <w:rPr>
          <w:lang w:val="en-US"/>
        </w:rPr>
        <w:t xml:space="preserve">or 60 GHz unlicensed band, transmissions are expected to be highly directional. To address the channel access efficiency, </w:t>
      </w:r>
      <w:r>
        <w:rPr>
          <w:lang w:val="en-US"/>
        </w:rPr>
        <w:t>a t</w:t>
      </w:r>
      <w:r w:rsidRPr="00D65339">
        <w:rPr>
          <w:lang w:val="en-US"/>
        </w:rPr>
        <w:t xml:space="preserve">ransmitter can choose an intended beam direction to perform the channel access procedure, and the sensed result is exclusively applicable to that intended beam direction only. Hence, indicating COT, available RB set, and search space group switching </w:t>
      </w:r>
      <w:r>
        <w:rPr>
          <w:lang w:val="en-US"/>
        </w:rPr>
        <w:t>should</w:t>
      </w:r>
      <w:r w:rsidRPr="00D65339">
        <w:rPr>
          <w:lang w:val="en-US"/>
        </w:rPr>
        <w:t xml:space="preserve"> be associated with the beam direction, wherein such feature was introduced in Rel-16 NR-U by using DCI format 2_</w:t>
      </w:r>
      <w:r>
        <w:rPr>
          <w:lang w:val="en-US"/>
        </w:rPr>
        <w:t>0</w:t>
      </w:r>
      <w:r w:rsidRPr="00D65339">
        <w:rPr>
          <w:lang w:val="en-US"/>
        </w:rPr>
        <w:t xml:space="preserve"> and in a cell-specific manner. </w:t>
      </w:r>
      <w:r>
        <w:rPr>
          <w:lang w:val="en-US"/>
        </w:rPr>
        <w:t>G</w:t>
      </w:r>
      <w:r w:rsidRPr="00D65339">
        <w:rPr>
          <w:lang w:val="en-US"/>
        </w:rPr>
        <w:t>eneralizing the feature to a beam-specific manner is beneficial to address different interference situation</w:t>
      </w:r>
      <w:r>
        <w:rPr>
          <w:lang w:val="en-US"/>
        </w:rPr>
        <w:t>s</w:t>
      </w:r>
      <w:r w:rsidRPr="00D65339">
        <w:rPr>
          <w:lang w:val="en-US"/>
        </w:rPr>
        <w:t xml:space="preserve"> along beam directions, and </w:t>
      </w:r>
      <w:r>
        <w:rPr>
          <w:lang w:val="en-US"/>
        </w:rPr>
        <w:t xml:space="preserve">is </w:t>
      </w:r>
      <w:r w:rsidRPr="00D65339">
        <w:rPr>
          <w:lang w:val="en-US"/>
        </w:rPr>
        <w:t xml:space="preserve">compatible with the intention to introduce directional LBT. </w:t>
      </w:r>
    </w:p>
    <w:p w14:paraId="3860050D" w14:textId="1AC5EBFC" w:rsidR="00047CEC" w:rsidRPr="00E03DC1" w:rsidRDefault="00047CEC" w:rsidP="00047CEC">
      <w:pPr>
        <w:tabs>
          <w:tab w:val="left" w:pos="1300"/>
        </w:tabs>
        <w:jc w:val="both"/>
        <w:rPr>
          <w:b/>
          <w:u w:val="single"/>
          <w:lang w:val="en-US"/>
        </w:rPr>
      </w:pPr>
      <w:r w:rsidRPr="00D65339">
        <w:rPr>
          <w:b/>
          <w:u w:val="single"/>
          <w:lang w:val="en-US"/>
        </w:rPr>
        <w:t xml:space="preserve">Proposal </w:t>
      </w:r>
      <w:r w:rsidR="00EF26C6">
        <w:rPr>
          <w:b/>
          <w:u w:val="single"/>
          <w:lang w:val="en-US"/>
        </w:rPr>
        <w:t>3</w:t>
      </w:r>
      <w:r w:rsidRPr="00D65339">
        <w:rPr>
          <w:b/>
          <w:u w:val="single"/>
          <w:lang w:val="en-US"/>
        </w:rPr>
        <w:t>: Support indicating COT, available RB set, and search space group switching in a beam-specific manner for 60 GHz licensed band.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6C3D6340" w14:textId="77777777" w:rsidR="00A50FE0" w:rsidRDefault="00A50FE0" w:rsidP="00A50FE0">
      <w:r>
        <w:t>The proposals</w:t>
      </w:r>
      <w:r w:rsidRPr="00816B5E">
        <w:t xml:space="preserve"> made in this contribution </w:t>
      </w:r>
      <w:r>
        <w:t>are</w:t>
      </w:r>
      <w:r w:rsidRPr="00816B5E">
        <w:t xml:space="preserve"> summarized below</w:t>
      </w:r>
      <w:r>
        <w:t xml:space="preserve"> (associated TPs are listed in the appendix)</w:t>
      </w:r>
      <w:r w:rsidRPr="00816B5E">
        <w:t>:</w:t>
      </w:r>
    </w:p>
    <w:p w14:paraId="5AD6DF80" w14:textId="77777777" w:rsidR="00A50FE0" w:rsidRDefault="00A50FE0" w:rsidP="00A50FE0">
      <w:pPr>
        <w:tabs>
          <w:tab w:val="left" w:pos="1300"/>
        </w:tabs>
        <w:spacing w:after="0"/>
        <w:jc w:val="both"/>
        <w:rPr>
          <w:b/>
          <w:u w:val="single"/>
        </w:rPr>
      </w:pPr>
      <w:r w:rsidRPr="00C63B00">
        <w:rPr>
          <w:b/>
          <w:u w:val="single"/>
        </w:rPr>
        <w:t xml:space="preserve">Proposal </w:t>
      </w:r>
      <w:r>
        <w:rPr>
          <w:b/>
          <w:u w:val="single"/>
        </w:rPr>
        <w:t>1</w:t>
      </w:r>
      <w:r w:rsidRPr="00C63B00">
        <w:rPr>
          <w:b/>
          <w:u w:val="single"/>
        </w:rPr>
        <w:t>:</w:t>
      </w:r>
      <w:r>
        <w:rPr>
          <w:b/>
          <w:u w:val="single"/>
        </w:rPr>
        <w:t xml:space="preserve"> For indication of the LBT/no-LBT mode:</w:t>
      </w:r>
    </w:p>
    <w:p w14:paraId="00492591"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gNB determines its mode by implementation;</w:t>
      </w:r>
    </w:p>
    <w:p w14:paraId="1132ED04"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69BB74EA" w14:textId="77777777" w:rsidR="00A50FE0" w:rsidRDefault="00A50FE0" w:rsidP="00A50FE0">
      <w:pPr>
        <w:pStyle w:val="ListParagraph"/>
        <w:numPr>
          <w:ilvl w:val="0"/>
          <w:numId w:val="47"/>
        </w:numPr>
        <w:tabs>
          <w:tab w:val="left" w:pos="1300"/>
        </w:tabs>
        <w:spacing w:after="0"/>
        <w:ind w:leftChars="0"/>
        <w:jc w:val="both"/>
        <w:rPr>
          <w:b/>
          <w:u w:val="single"/>
        </w:rPr>
      </w:pPr>
      <w:r>
        <w:rPr>
          <w:b/>
          <w:u w:val="single"/>
        </w:rPr>
        <w:t>UE assumes the UE operates according to the indicated mode in the UE-specific indication;</w:t>
      </w:r>
    </w:p>
    <w:p w14:paraId="267F5A4E" w14:textId="77777777" w:rsidR="00A50FE0" w:rsidRPr="00A50FE0" w:rsidRDefault="00A50FE0" w:rsidP="00A50FE0">
      <w:pPr>
        <w:pStyle w:val="ListParagraph"/>
        <w:numPr>
          <w:ilvl w:val="0"/>
          <w:numId w:val="47"/>
        </w:numPr>
        <w:tabs>
          <w:tab w:val="left" w:pos="1300"/>
        </w:tabs>
        <w:ind w:leftChars="0"/>
        <w:jc w:val="both"/>
        <w:rPr>
          <w:b/>
          <w:u w:val="single"/>
        </w:rPr>
      </w:pPr>
      <w:r w:rsidRPr="00A50FE0">
        <w:rPr>
          <w:b/>
          <w:u w:val="single"/>
        </w:rPr>
        <w:t>the UE-specific indication overrides the cell-specific indication when both of them are provided.</w:t>
      </w:r>
    </w:p>
    <w:p w14:paraId="1C57508F" w14:textId="754FFA90" w:rsidR="00A50FE0" w:rsidRDefault="00A50FE0" w:rsidP="00A50FE0">
      <w:pPr>
        <w:tabs>
          <w:tab w:val="left" w:pos="1300"/>
        </w:tabs>
        <w:spacing w:after="0"/>
        <w:jc w:val="both"/>
        <w:rPr>
          <w:b/>
          <w:u w:val="single"/>
        </w:rPr>
      </w:pPr>
      <w:r>
        <w:rPr>
          <w:b/>
          <w:u w:val="single"/>
        </w:rPr>
        <w:t xml:space="preserve">Proposal </w:t>
      </w:r>
      <w:r w:rsidR="00EF26C6">
        <w:rPr>
          <w:b/>
          <w:u w:val="single"/>
        </w:rPr>
        <w:t>2</w:t>
      </w:r>
      <w:r>
        <w:rPr>
          <w:b/>
          <w:u w:val="single"/>
        </w:rPr>
        <w:t xml:space="preserve">: For </w:t>
      </w:r>
      <w:r w:rsidRPr="00A863FA">
        <w:rPr>
          <w:b/>
          <w:u w:val="single"/>
        </w:rPr>
        <w:t>short control signal</w:t>
      </w:r>
      <w:r>
        <w:rPr>
          <w:b/>
          <w:u w:val="single"/>
        </w:rPr>
        <w:t>ling, the duty cycle calculation for UL is per UE.</w:t>
      </w:r>
    </w:p>
    <w:p w14:paraId="5CBA31B9" w14:textId="77777777" w:rsidR="00A50FE0" w:rsidRPr="000C123A" w:rsidRDefault="00A50FE0" w:rsidP="00A50FE0">
      <w:pPr>
        <w:pStyle w:val="ListParagraph"/>
        <w:numPr>
          <w:ilvl w:val="0"/>
          <w:numId w:val="49"/>
        </w:numPr>
        <w:tabs>
          <w:tab w:val="left" w:pos="1300"/>
        </w:tabs>
        <w:ind w:leftChars="0"/>
        <w:jc w:val="both"/>
        <w:rPr>
          <w:b/>
          <w:u w:val="single"/>
          <w:lang w:val="en-US"/>
        </w:rPr>
      </w:pPr>
      <w:r>
        <w:rPr>
          <w:b/>
          <w:u w:val="single"/>
          <w:lang w:val="en-US"/>
        </w:rPr>
        <w:t>No spec impact.</w:t>
      </w:r>
    </w:p>
    <w:p w14:paraId="21808146" w14:textId="361DA5D2" w:rsidR="00047CEC" w:rsidRPr="00E03DC1" w:rsidRDefault="00047CEC" w:rsidP="00047CEC">
      <w:pPr>
        <w:tabs>
          <w:tab w:val="left" w:pos="1300"/>
        </w:tabs>
        <w:jc w:val="both"/>
        <w:rPr>
          <w:b/>
          <w:u w:val="single"/>
          <w:lang w:val="en-US"/>
        </w:rPr>
      </w:pPr>
      <w:r w:rsidRPr="00D65339">
        <w:rPr>
          <w:b/>
          <w:u w:val="single"/>
          <w:lang w:val="en-US"/>
        </w:rPr>
        <w:t xml:space="preserve">Proposal </w:t>
      </w:r>
      <w:r w:rsidR="00EF26C6">
        <w:rPr>
          <w:b/>
          <w:u w:val="single"/>
          <w:lang w:val="en-US"/>
        </w:rPr>
        <w:t>3</w:t>
      </w:r>
      <w:r w:rsidRPr="00D65339">
        <w:rPr>
          <w:b/>
          <w:u w:val="single"/>
          <w:lang w:val="en-US"/>
        </w:rPr>
        <w:t>: Support indicating COT, available RB set, and search space group switching in a beam-specific manner for 60 GHz licensed band.</w:t>
      </w:r>
    </w:p>
    <w:sectPr w:rsidR="00047CEC" w:rsidRPr="00E03DC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5C8FB" w14:textId="77777777" w:rsidR="00C12BAF" w:rsidRDefault="00C12BAF" w:rsidP="00083046">
      <w:r>
        <w:separator/>
      </w:r>
    </w:p>
  </w:endnote>
  <w:endnote w:type="continuationSeparator" w:id="0">
    <w:p w14:paraId="4CC07624" w14:textId="77777777" w:rsidR="00C12BAF" w:rsidRDefault="00C12BA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404A9" w14:textId="77777777" w:rsidR="00C12BAF" w:rsidRDefault="00C12BAF" w:rsidP="00083046">
      <w:r>
        <w:separator/>
      </w:r>
    </w:p>
  </w:footnote>
  <w:footnote w:type="continuationSeparator" w:id="0">
    <w:p w14:paraId="04855AE7" w14:textId="77777777" w:rsidR="00C12BAF" w:rsidRDefault="00C12BA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802"/>
    <w:multiLevelType w:val="hybridMultilevel"/>
    <w:tmpl w:val="C47AF1E2"/>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963DD4"/>
    <w:multiLevelType w:val="hybridMultilevel"/>
    <w:tmpl w:val="A48A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DB013D"/>
    <w:multiLevelType w:val="hybridMultilevel"/>
    <w:tmpl w:val="BEDA3E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7F3C32"/>
    <w:multiLevelType w:val="hybridMultilevel"/>
    <w:tmpl w:val="861A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9"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31"/>
  </w:num>
  <w:num w:numId="4">
    <w:abstractNumId w:val="43"/>
  </w:num>
  <w:num w:numId="5">
    <w:abstractNumId w:val="24"/>
  </w:num>
  <w:num w:numId="6">
    <w:abstractNumId w:val="48"/>
  </w:num>
  <w:num w:numId="7">
    <w:abstractNumId w:val="27"/>
  </w:num>
  <w:num w:numId="8">
    <w:abstractNumId w:val="45"/>
  </w:num>
  <w:num w:numId="9">
    <w:abstractNumId w:val="0"/>
    <w:lvlOverride w:ilvl="0">
      <w:startOverride w:val="1"/>
    </w:lvlOverride>
  </w:num>
  <w:num w:numId="10">
    <w:abstractNumId w:val="36"/>
  </w:num>
  <w:num w:numId="11">
    <w:abstractNumId w:val="26"/>
  </w:num>
  <w:num w:numId="12">
    <w:abstractNumId w:val="10"/>
  </w:num>
  <w:num w:numId="13">
    <w:abstractNumId w:val="29"/>
  </w:num>
  <w:num w:numId="14">
    <w:abstractNumId w:val="39"/>
  </w:num>
  <w:num w:numId="15">
    <w:abstractNumId w:val="9"/>
  </w:num>
  <w:num w:numId="16">
    <w:abstractNumId w:val="38"/>
  </w:num>
  <w:num w:numId="17">
    <w:abstractNumId w:val="41"/>
  </w:num>
  <w:num w:numId="18">
    <w:abstractNumId w:val="12"/>
  </w:num>
  <w:num w:numId="19">
    <w:abstractNumId w:val="15"/>
  </w:num>
  <w:num w:numId="20">
    <w:abstractNumId w:val="30"/>
  </w:num>
  <w:num w:numId="21">
    <w:abstractNumId w:val="20"/>
  </w:num>
  <w:num w:numId="22">
    <w:abstractNumId w:val="32"/>
  </w:num>
  <w:num w:numId="23">
    <w:abstractNumId w:val="37"/>
  </w:num>
  <w:num w:numId="24">
    <w:abstractNumId w:val="13"/>
  </w:num>
  <w:num w:numId="25">
    <w:abstractNumId w:val="2"/>
  </w:num>
  <w:num w:numId="26">
    <w:abstractNumId w:val="21"/>
  </w:num>
  <w:num w:numId="27">
    <w:abstractNumId w:val="40"/>
  </w:num>
  <w:num w:numId="28">
    <w:abstractNumId w:val="19"/>
  </w:num>
  <w:num w:numId="29">
    <w:abstractNumId w:val="1"/>
  </w:num>
  <w:num w:numId="30">
    <w:abstractNumId w:val="18"/>
  </w:num>
  <w:num w:numId="31">
    <w:abstractNumId w:val="46"/>
  </w:num>
  <w:num w:numId="32">
    <w:abstractNumId w:val="49"/>
  </w:num>
  <w:num w:numId="33">
    <w:abstractNumId w:val="7"/>
  </w:num>
  <w:num w:numId="34">
    <w:abstractNumId w:val="23"/>
  </w:num>
  <w:num w:numId="35">
    <w:abstractNumId w:val="35"/>
  </w:num>
  <w:num w:numId="36">
    <w:abstractNumId w:val="4"/>
  </w:num>
  <w:num w:numId="37">
    <w:abstractNumId w:val="28"/>
  </w:num>
  <w:num w:numId="38">
    <w:abstractNumId w:val="33"/>
  </w:num>
  <w:num w:numId="39">
    <w:abstractNumId w:val="42"/>
  </w:num>
  <w:num w:numId="40">
    <w:abstractNumId w:val="6"/>
  </w:num>
  <w:num w:numId="41">
    <w:abstractNumId w:val="34"/>
  </w:num>
  <w:num w:numId="42">
    <w:abstractNumId w:val="8"/>
  </w:num>
  <w:num w:numId="43">
    <w:abstractNumId w:val="14"/>
  </w:num>
  <w:num w:numId="44">
    <w:abstractNumId w:val="16"/>
  </w:num>
  <w:num w:numId="45">
    <w:abstractNumId w:val="5"/>
  </w:num>
  <w:num w:numId="46">
    <w:abstractNumId w:val="44"/>
  </w:num>
  <w:num w:numId="47">
    <w:abstractNumId w:val="47"/>
  </w:num>
  <w:num w:numId="48">
    <w:abstractNumId w:val="3"/>
  </w:num>
  <w:num w:numId="49">
    <w:abstractNumId w:val="22"/>
  </w:num>
  <w:num w:numId="5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CEC"/>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57FE1"/>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68F"/>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23A"/>
    <w:rsid w:val="000C14C1"/>
    <w:rsid w:val="000C2DAC"/>
    <w:rsid w:val="000C3A4B"/>
    <w:rsid w:val="000C3BE1"/>
    <w:rsid w:val="000C521E"/>
    <w:rsid w:val="000C56CE"/>
    <w:rsid w:val="000C6075"/>
    <w:rsid w:val="000C650F"/>
    <w:rsid w:val="000C66FC"/>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598"/>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3FB3"/>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1A8E"/>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8AB"/>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3E4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CA"/>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34B"/>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13"/>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F03"/>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DF3"/>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3"/>
    <w:rsid w:val="003958CA"/>
    <w:rsid w:val="00395913"/>
    <w:rsid w:val="0039593B"/>
    <w:rsid w:val="00395E02"/>
    <w:rsid w:val="00395E89"/>
    <w:rsid w:val="00396217"/>
    <w:rsid w:val="003965FC"/>
    <w:rsid w:val="003969FF"/>
    <w:rsid w:val="003975AC"/>
    <w:rsid w:val="00397FC6"/>
    <w:rsid w:val="003A087F"/>
    <w:rsid w:val="003A0A80"/>
    <w:rsid w:val="003A1310"/>
    <w:rsid w:val="003A170E"/>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09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5C62"/>
    <w:rsid w:val="004B65FB"/>
    <w:rsid w:val="004B787D"/>
    <w:rsid w:val="004C0799"/>
    <w:rsid w:val="004C1AC1"/>
    <w:rsid w:val="004C2115"/>
    <w:rsid w:val="004C25AA"/>
    <w:rsid w:val="004C3070"/>
    <w:rsid w:val="004C3628"/>
    <w:rsid w:val="004C3A5F"/>
    <w:rsid w:val="004C407C"/>
    <w:rsid w:val="004C4315"/>
    <w:rsid w:val="004C48A5"/>
    <w:rsid w:val="004C4D71"/>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24CA"/>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474"/>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1A"/>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CD"/>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29"/>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BC"/>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AC4"/>
    <w:rsid w:val="008C4BC9"/>
    <w:rsid w:val="008C4D06"/>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EDF"/>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1DE7"/>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0FE0"/>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475"/>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630"/>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D63"/>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60"/>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77F1D"/>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DFE"/>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BAF"/>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1DC"/>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501"/>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2B9"/>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9EF"/>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034"/>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64D"/>
    <w:rsid w:val="00EF21E2"/>
    <w:rsid w:val="00EF26C6"/>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E5C"/>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8B"/>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 w:type="paragraph" w:customStyle="1" w:styleId="textintend1">
    <w:name w:val="text intend 1"/>
    <w:basedOn w:val="Normal"/>
    <w:rsid w:val="00267913"/>
    <w:pPr>
      <w:numPr>
        <w:numId w:val="50"/>
      </w:numPr>
      <w:overflowPunct w:val="0"/>
      <w:autoSpaceDE w:val="0"/>
      <w:autoSpaceDN w:val="0"/>
      <w:adjustRightInd w:val="0"/>
      <w:spacing w:after="120"/>
      <w:jc w:val="both"/>
      <w:textAlignment w:val="baseline"/>
    </w:pPr>
    <w:rPr>
      <w:rFonts w:eastAsia="MS Mincho"/>
      <w:sz w:val="24"/>
      <w:lang w:val="en-US" w:eastAsia="en-US"/>
    </w:rPr>
  </w:style>
  <w:style w:type="paragraph" w:customStyle="1" w:styleId="maintext">
    <w:name w:val="main text"/>
    <w:basedOn w:val="Normal"/>
    <w:link w:val="maintextChar"/>
    <w:qFormat/>
    <w:rsid w:val="00FE788B"/>
    <w:pPr>
      <w:spacing w:before="60" w:after="60" w:line="288" w:lineRule="auto"/>
      <w:ind w:firstLineChars="200" w:firstLine="200"/>
      <w:jc w:val="both"/>
    </w:pPr>
  </w:style>
  <w:style w:type="character" w:customStyle="1" w:styleId="maintextChar">
    <w:name w:val="main text Char"/>
    <w:link w:val="maintext"/>
    <w:qFormat/>
    <w:rsid w:val="00FE788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78A3B-FD46-421A-BD17-F77B8DC20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2022-04-25T00:36:00Z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